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E041" w14:textId="00F7F6F5" w:rsidR="002A0A12" w:rsidRPr="002A0A12" w:rsidRDefault="002A0A12" w:rsidP="002A0A12">
      <w:pPr>
        <w:shd w:val="clear" w:color="auto" w:fill="FFFFFF"/>
        <w:outlineLvl w:val="0"/>
        <w:rPr>
          <w:rFonts w:ascii="Lato" w:eastAsia="Times New Roman" w:hAnsi="Lato" w:cs="Times New Roman"/>
          <w:color w:val="CC3300"/>
          <w:kern w:val="36"/>
          <w:sz w:val="36"/>
          <w:szCs w:val="36"/>
          <w:lang w:eastAsia="fr-FR"/>
        </w:rPr>
      </w:pPr>
      <w:r w:rsidRPr="002A0A12">
        <w:rPr>
          <w:rFonts w:ascii="Lato" w:eastAsia="Times New Roman" w:hAnsi="Lato" w:cs="Times New Roman"/>
          <w:color w:val="CC3300"/>
          <w:kern w:val="36"/>
          <w:sz w:val="36"/>
          <w:szCs w:val="36"/>
          <w:lang w:eastAsia="fr-FR"/>
        </w:rPr>
        <w:t>Cobalt</w:t>
      </w:r>
      <w:r>
        <w:rPr>
          <w:rFonts w:ascii="Lato" w:eastAsia="Times New Roman" w:hAnsi="Lato" w:cs="Times New Roman"/>
          <w:color w:val="CC3300"/>
          <w:kern w:val="36"/>
          <w:sz w:val="36"/>
          <w:szCs w:val="36"/>
          <w:lang w:eastAsia="fr-FR"/>
        </w:rPr>
        <w:t>,</w:t>
      </w:r>
      <w:r w:rsidRPr="002A0A12">
        <w:rPr>
          <w:rFonts w:ascii="Lato" w:eastAsia="Times New Roman" w:hAnsi="Lato" w:cs="Times New Roman"/>
          <w:color w:val="CC3300"/>
          <w:kern w:val="36"/>
          <w:sz w:val="36"/>
          <w:szCs w:val="36"/>
          <w:lang w:eastAsia="fr-FR"/>
        </w:rPr>
        <w:t xml:space="preserve"> le nombre de contrats échangés sur le CME vole de record en record</w:t>
      </w:r>
    </w:p>
    <w:p w14:paraId="400D35D2" w14:textId="77777777" w:rsidR="002A0A12" w:rsidRDefault="002A0A12" w:rsidP="002A0A12">
      <w:pPr>
        <w:shd w:val="clear" w:color="auto" w:fill="FFFFFF"/>
        <w:spacing w:before="75" w:after="75"/>
        <w:jc w:val="both"/>
        <w:rPr>
          <w:rFonts w:ascii="Lato" w:eastAsia="Times New Roman" w:hAnsi="Lato" w:cs="Times New Roman"/>
          <w:i/>
          <w:iCs/>
          <w:color w:val="000000"/>
          <w:sz w:val="23"/>
          <w:szCs w:val="23"/>
          <w:lang w:eastAsia="fr-FR"/>
        </w:rPr>
      </w:pPr>
    </w:p>
    <w:p w14:paraId="3CB1C13C" w14:textId="23F9C527" w:rsidR="002A0A12" w:rsidRPr="002A0A12" w:rsidRDefault="002A0A12" w:rsidP="002A0A12">
      <w:pPr>
        <w:shd w:val="clear" w:color="auto" w:fill="FFFFFF"/>
        <w:spacing w:before="75" w:after="75"/>
        <w:jc w:val="both"/>
        <w:rPr>
          <w:rFonts w:ascii="Lato" w:eastAsia="Times New Roman" w:hAnsi="Lato" w:cs="Times New Roman"/>
          <w:color w:val="000000"/>
          <w:sz w:val="23"/>
          <w:szCs w:val="23"/>
          <w:lang w:eastAsia="fr-FR"/>
        </w:rPr>
      </w:pPr>
      <w:r w:rsidRPr="002A0A12">
        <w:rPr>
          <w:rFonts w:ascii="Lato" w:eastAsia="Times New Roman" w:hAnsi="Lato" w:cs="Times New Roman"/>
          <w:b/>
          <w:bCs/>
          <w:color w:val="000000"/>
          <w:sz w:val="23"/>
          <w:szCs w:val="23"/>
          <w:lang w:eastAsia="fr-FR"/>
        </w:rPr>
        <w:t>La fermeté est au rendez-vous pour le titane et l’antimoine. De son côté, le cobalt qui manque de vigueur sur le marché spot, fait des étincelles sur le CME.</w:t>
      </w:r>
    </w:p>
    <w:p w14:paraId="0A4EE97A" w14:textId="77777777" w:rsidR="002A0A12" w:rsidRPr="002A0A12" w:rsidRDefault="002A0A12" w:rsidP="002A0A12">
      <w:pPr>
        <w:shd w:val="clear" w:color="auto" w:fill="FFFFFF"/>
        <w:spacing w:before="75" w:after="75"/>
        <w:jc w:val="both"/>
        <w:rPr>
          <w:rFonts w:ascii="Lato" w:eastAsia="Times New Roman" w:hAnsi="Lato" w:cs="Times New Roman"/>
          <w:color w:val="000000"/>
          <w:sz w:val="23"/>
          <w:szCs w:val="23"/>
          <w:lang w:eastAsia="fr-FR"/>
        </w:rPr>
      </w:pPr>
      <w:r w:rsidRPr="002A0A12">
        <w:rPr>
          <w:rFonts w:ascii="Lato" w:eastAsia="Times New Roman" w:hAnsi="Lato" w:cs="Times New Roman"/>
          <w:color w:val="000000"/>
          <w:sz w:val="23"/>
          <w:szCs w:val="23"/>
          <w:lang w:eastAsia="fr-FR"/>
        </w:rPr>
        <w:t> </w:t>
      </w:r>
    </w:p>
    <w:p w14:paraId="105F9629" w14:textId="77777777" w:rsidR="002A0A12" w:rsidRPr="002A0A12" w:rsidRDefault="002A0A12" w:rsidP="002A0A12">
      <w:pPr>
        <w:shd w:val="clear" w:color="auto" w:fill="FFFFFF"/>
        <w:spacing w:before="75" w:after="75"/>
        <w:jc w:val="both"/>
        <w:rPr>
          <w:rFonts w:ascii="Lato" w:eastAsia="Times New Roman" w:hAnsi="Lato" w:cs="Times New Roman"/>
          <w:color w:val="000000"/>
          <w:sz w:val="23"/>
          <w:szCs w:val="23"/>
          <w:lang w:eastAsia="fr-FR"/>
        </w:rPr>
      </w:pPr>
      <w:r w:rsidRPr="002A0A12">
        <w:rPr>
          <w:rFonts w:ascii="Lato" w:eastAsia="Times New Roman" w:hAnsi="Lato" w:cs="Times New Roman"/>
          <w:b/>
          <w:bCs/>
          <w:color w:val="A52A2A"/>
          <w:sz w:val="23"/>
          <w:szCs w:val="23"/>
          <w:lang w:eastAsia="fr-FR"/>
        </w:rPr>
        <w:t>Titane : ferme</w:t>
      </w:r>
    </w:p>
    <w:p w14:paraId="3E105625" w14:textId="77777777" w:rsidR="002A0A12" w:rsidRPr="002A0A12" w:rsidRDefault="002A0A12" w:rsidP="002A0A12">
      <w:pPr>
        <w:shd w:val="clear" w:color="auto" w:fill="FFFFFF"/>
        <w:spacing w:before="75" w:after="75"/>
        <w:jc w:val="both"/>
        <w:rPr>
          <w:rFonts w:ascii="Lato" w:eastAsia="Times New Roman" w:hAnsi="Lato" w:cs="Times New Roman"/>
          <w:color w:val="000000"/>
          <w:sz w:val="23"/>
          <w:szCs w:val="23"/>
          <w:lang w:eastAsia="fr-FR"/>
        </w:rPr>
      </w:pPr>
      <w:r w:rsidRPr="002A0A12">
        <w:rPr>
          <w:rFonts w:ascii="Lato" w:eastAsia="Times New Roman" w:hAnsi="Lato" w:cs="Times New Roman"/>
          <w:color w:val="000000"/>
          <w:sz w:val="23"/>
          <w:szCs w:val="23"/>
          <w:lang w:eastAsia="fr-FR"/>
        </w:rPr>
        <w:t>Les cours européens des déchets de titane ont progressé, dans le sillage de la demande des fabricants d’alliages. Concrétisant ce qui avait été constaté la semaine précédente, les acheteurs ont montré un regain d’intérêt certain pour les déchets, qui se révèlent plus difficiles à se procurer depuis le début de l’année. Pour leur part, les aciéristes semblent se satisfaire de leurs stocks actuels, mais devraient revenir aux achats dans les semaines qui viennent. « Les prix des déchets de titane ont légèrement progressé », confirme un producteur d’alliages, basé au Royaume-Uni. «</w:t>
      </w:r>
      <w:r w:rsidRPr="002A0A12">
        <w:rPr>
          <w:rFonts w:ascii="Lato" w:eastAsia="Times New Roman" w:hAnsi="Lato" w:cs="Times New Roman"/>
          <w:i/>
          <w:iCs/>
          <w:color w:val="000000"/>
          <w:sz w:val="23"/>
          <w:szCs w:val="23"/>
          <w:lang w:eastAsia="fr-FR"/>
        </w:rPr>
        <w:t xml:space="preserve"> Il est difficile d’acheter des tournures à faible taux d’étain sous les 1,70 $/lb </w:t>
      </w:r>
      <w:proofErr w:type="spellStart"/>
      <w:r w:rsidRPr="002A0A12">
        <w:rPr>
          <w:rFonts w:ascii="Lato" w:eastAsia="Times New Roman" w:hAnsi="Lato" w:cs="Times New Roman"/>
          <w:i/>
          <w:iCs/>
          <w:color w:val="000000"/>
          <w:sz w:val="23"/>
          <w:szCs w:val="23"/>
          <w:lang w:eastAsia="fr-FR"/>
        </w:rPr>
        <w:t>cif</w:t>
      </w:r>
      <w:proofErr w:type="spellEnd"/>
      <w:r w:rsidRPr="002A0A12">
        <w:rPr>
          <w:rFonts w:ascii="Lato" w:eastAsia="Times New Roman" w:hAnsi="Lato" w:cs="Times New Roman"/>
          <w:i/>
          <w:iCs/>
          <w:color w:val="000000"/>
          <w:sz w:val="23"/>
          <w:szCs w:val="23"/>
          <w:lang w:eastAsia="fr-FR"/>
        </w:rPr>
        <w:t xml:space="preserve"> Europe, elles sont plutôt à 1,80 $/lb </w:t>
      </w:r>
      <w:proofErr w:type="spellStart"/>
      <w:r w:rsidRPr="002A0A12">
        <w:rPr>
          <w:rFonts w:ascii="Lato" w:eastAsia="Times New Roman" w:hAnsi="Lato" w:cs="Times New Roman"/>
          <w:i/>
          <w:iCs/>
          <w:color w:val="000000"/>
          <w:sz w:val="23"/>
          <w:szCs w:val="23"/>
          <w:lang w:eastAsia="fr-FR"/>
        </w:rPr>
        <w:t>cif</w:t>
      </w:r>
      <w:proofErr w:type="spellEnd"/>
      <w:r w:rsidRPr="002A0A12">
        <w:rPr>
          <w:rFonts w:ascii="Lato" w:eastAsia="Times New Roman" w:hAnsi="Lato" w:cs="Times New Roman"/>
          <w:i/>
          <w:iCs/>
          <w:color w:val="000000"/>
          <w:sz w:val="23"/>
          <w:szCs w:val="23"/>
          <w:lang w:eastAsia="fr-FR"/>
        </w:rPr>
        <w:t xml:space="preserve"> maintenant</w:t>
      </w:r>
      <w:r w:rsidRPr="002A0A12">
        <w:rPr>
          <w:rFonts w:ascii="Lato" w:eastAsia="Times New Roman" w:hAnsi="Lato" w:cs="Times New Roman"/>
          <w:color w:val="000000"/>
          <w:sz w:val="23"/>
          <w:szCs w:val="23"/>
          <w:lang w:eastAsia="fr-FR"/>
        </w:rPr>
        <w:t> », ajoute-t-il. «</w:t>
      </w:r>
      <w:r w:rsidRPr="002A0A12">
        <w:rPr>
          <w:rFonts w:ascii="Lato" w:eastAsia="Times New Roman" w:hAnsi="Lato" w:cs="Times New Roman"/>
          <w:i/>
          <w:iCs/>
          <w:color w:val="000000"/>
          <w:sz w:val="23"/>
          <w:szCs w:val="23"/>
          <w:lang w:eastAsia="fr-FR"/>
        </w:rPr>
        <w:t xml:space="preserve"> Si cette tendance haussière persiste, les prix du </w:t>
      </w:r>
      <w:proofErr w:type="spellStart"/>
      <w:r w:rsidRPr="002A0A12">
        <w:rPr>
          <w:rFonts w:ascii="Lato" w:eastAsia="Times New Roman" w:hAnsi="Lato" w:cs="Times New Roman"/>
          <w:i/>
          <w:iCs/>
          <w:color w:val="000000"/>
          <w:sz w:val="23"/>
          <w:szCs w:val="23"/>
          <w:lang w:eastAsia="fr-FR"/>
        </w:rPr>
        <w:t>ferro</w:t>
      </w:r>
      <w:proofErr w:type="spellEnd"/>
      <w:r w:rsidRPr="002A0A12">
        <w:rPr>
          <w:rFonts w:ascii="Lato" w:eastAsia="Times New Roman" w:hAnsi="Lato" w:cs="Times New Roman"/>
          <w:i/>
          <w:iCs/>
          <w:color w:val="000000"/>
          <w:sz w:val="23"/>
          <w:szCs w:val="23"/>
          <w:lang w:eastAsia="fr-FR"/>
        </w:rPr>
        <w:t>-titane vont également progresser, et nous devrions voir un regain d’activité à l’approche du mois de février</w:t>
      </w:r>
      <w:r w:rsidRPr="002A0A12">
        <w:rPr>
          <w:rFonts w:ascii="Lato" w:eastAsia="Times New Roman" w:hAnsi="Lato" w:cs="Times New Roman"/>
          <w:color w:val="000000"/>
          <w:sz w:val="23"/>
          <w:szCs w:val="23"/>
          <w:lang w:eastAsia="fr-FR"/>
        </w:rPr>
        <w:t> », estime le producteur.</w:t>
      </w:r>
    </w:p>
    <w:p w14:paraId="13C5AC93" w14:textId="77777777" w:rsidR="002A0A12" w:rsidRPr="002A0A12" w:rsidRDefault="002A0A12" w:rsidP="002A0A12">
      <w:pPr>
        <w:shd w:val="clear" w:color="auto" w:fill="FFFFFF"/>
        <w:spacing w:before="75" w:after="75"/>
        <w:jc w:val="both"/>
        <w:rPr>
          <w:rFonts w:ascii="Lato" w:eastAsia="Times New Roman" w:hAnsi="Lato" w:cs="Times New Roman"/>
          <w:color w:val="000000"/>
          <w:sz w:val="23"/>
          <w:szCs w:val="23"/>
          <w:lang w:eastAsia="fr-FR"/>
        </w:rPr>
      </w:pPr>
      <w:r w:rsidRPr="002A0A12">
        <w:rPr>
          <w:rFonts w:ascii="Lato" w:eastAsia="Times New Roman" w:hAnsi="Lato" w:cs="Times New Roman"/>
          <w:color w:val="000000"/>
          <w:sz w:val="23"/>
          <w:szCs w:val="23"/>
          <w:lang w:eastAsia="fr-FR"/>
        </w:rPr>
        <w:t> </w:t>
      </w:r>
    </w:p>
    <w:p w14:paraId="217A42CB" w14:textId="77777777" w:rsidR="002A0A12" w:rsidRPr="002A0A12" w:rsidRDefault="002A0A12" w:rsidP="002A0A12">
      <w:pPr>
        <w:shd w:val="clear" w:color="auto" w:fill="FFFFFF"/>
        <w:spacing w:before="75" w:after="75"/>
        <w:jc w:val="both"/>
        <w:rPr>
          <w:rFonts w:ascii="Lato" w:eastAsia="Times New Roman" w:hAnsi="Lato" w:cs="Times New Roman"/>
          <w:color w:val="000000"/>
          <w:sz w:val="23"/>
          <w:szCs w:val="23"/>
          <w:lang w:eastAsia="fr-FR"/>
        </w:rPr>
      </w:pPr>
      <w:r w:rsidRPr="002A0A12">
        <w:rPr>
          <w:rFonts w:ascii="Lato" w:eastAsia="Times New Roman" w:hAnsi="Lato" w:cs="Times New Roman"/>
          <w:b/>
          <w:bCs/>
          <w:color w:val="A52A2A"/>
          <w:sz w:val="23"/>
          <w:szCs w:val="23"/>
          <w:lang w:eastAsia="fr-FR"/>
        </w:rPr>
        <w:t>Antimoine : disponibilités limitées</w:t>
      </w:r>
    </w:p>
    <w:p w14:paraId="6A6132D8" w14:textId="77777777" w:rsidR="002A0A12" w:rsidRPr="002A0A12" w:rsidRDefault="002A0A12" w:rsidP="002A0A12">
      <w:pPr>
        <w:shd w:val="clear" w:color="auto" w:fill="FFFFFF"/>
        <w:spacing w:before="75" w:after="75"/>
        <w:jc w:val="both"/>
        <w:rPr>
          <w:rFonts w:ascii="Lato" w:eastAsia="Times New Roman" w:hAnsi="Lato" w:cs="Times New Roman"/>
          <w:color w:val="000000"/>
          <w:sz w:val="23"/>
          <w:szCs w:val="23"/>
          <w:lang w:eastAsia="fr-FR"/>
        </w:rPr>
      </w:pPr>
      <w:r w:rsidRPr="002A0A12">
        <w:rPr>
          <w:rFonts w:ascii="Lato" w:eastAsia="Times New Roman" w:hAnsi="Lato" w:cs="Times New Roman"/>
          <w:color w:val="000000"/>
          <w:sz w:val="23"/>
          <w:szCs w:val="23"/>
          <w:lang w:eastAsia="fr-FR"/>
        </w:rPr>
        <w:t>Les cours de l’antimoine départ Rotterdam ont poursuivi leur ascension ces derniers jours, alors que les disponibilités sur le marché spot sont ténues. Les vendeurs continuent de faire de la rétention et la fermeté du yuan face au dollar soutient les cours. Les cours de l’antimoine MMTA qualité standard II, départ Rotterdam, ont  dépassé le seuil des 13.000 $/tonne, une première depuis septembre 2022. Le 14 décembre dernier, ils avaient chuté jusqu’à 10.050 $/tonne. «</w:t>
      </w:r>
      <w:r w:rsidRPr="002A0A12">
        <w:rPr>
          <w:rFonts w:ascii="Lato" w:eastAsia="Times New Roman" w:hAnsi="Lato" w:cs="Times New Roman"/>
          <w:i/>
          <w:iCs/>
          <w:color w:val="000000"/>
          <w:sz w:val="23"/>
          <w:szCs w:val="23"/>
          <w:lang w:eastAsia="fr-FR"/>
        </w:rPr>
        <w:t> Comme il n’y a pas de métal disponible sur le marché et que la plupart des fonderies chinoises ont stoppé leur activité, les vendeurs chinois sont soit réticents, soit totalement réfractaires à faire des offres</w:t>
      </w:r>
      <w:r w:rsidRPr="002A0A12">
        <w:rPr>
          <w:rFonts w:ascii="Lato" w:eastAsia="Times New Roman" w:hAnsi="Lato" w:cs="Times New Roman"/>
          <w:color w:val="000000"/>
          <w:sz w:val="23"/>
          <w:szCs w:val="23"/>
          <w:lang w:eastAsia="fr-FR"/>
        </w:rPr>
        <w:t> », souligne une source chinoise.</w:t>
      </w:r>
    </w:p>
    <w:p w14:paraId="2DE88527" w14:textId="77777777" w:rsidR="002A0A12" w:rsidRPr="002A0A12" w:rsidRDefault="002A0A12" w:rsidP="002A0A12">
      <w:pPr>
        <w:shd w:val="clear" w:color="auto" w:fill="FFFFFF"/>
        <w:spacing w:before="75" w:after="75"/>
        <w:jc w:val="both"/>
        <w:rPr>
          <w:rFonts w:ascii="Lato" w:eastAsia="Times New Roman" w:hAnsi="Lato" w:cs="Times New Roman"/>
          <w:color w:val="000000"/>
          <w:sz w:val="23"/>
          <w:szCs w:val="23"/>
          <w:lang w:eastAsia="fr-FR"/>
        </w:rPr>
      </w:pPr>
      <w:r w:rsidRPr="002A0A12">
        <w:rPr>
          <w:rFonts w:ascii="Lato" w:eastAsia="Times New Roman" w:hAnsi="Lato" w:cs="Times New Roman"/>
          <w:color w:val="000000"/>
          <w:sz w:val="23"/>
          <w:szCs w:val="23"/>
          <w:lang w:eastAsia="fr-FR"/>
        </w:rPr>
        <w:t> </w:t>
      </w:r>
    </w:p>
    <w:p w14:paraId="4C48E63C" w14:textId="77777777" w:rsidR="002A0A12" w:rsidRPr="002A0A12" w:rsidRDefault="002A0A12" w:rsidP="002A0A12">
      <w:pPr>
        <w:shd w:val="clear" w:color="auto" w:fill="FFFFFF"/>
        <w:spacing w:before="75" w:after="75"/>
        <w:jc w:val="both"/>
        <w:rPr>
          <w:rFonts w:ascii="Lato" w:eastAsia="Times New Roman" w:hAnsi="Lato" w:cs="Times New Roman"/>
          <w:color w:val="000000"/>
          <w:sz w:val="23"/>
          <w:szCs w:val="23"/>
          <w:lang w:eastAsia="fr-FR"/>
        </w:rPr>
      </w:pPr>
      <w:r w:rsidRPr="002A0A12">
        <w:rPr>
          <w:rFonts w:ascii="Lato" w:eastAsia="Times New Roman" w:hAnsi="Lato" w:cs="Times New Roman"/>
          <w:b/>
          <w:bCs/>
          <w:color w:val="A52A2A"/>
          <w:sz w:val="23"/>
          <w:szCs w:val="23"/>
          <w:lang w:eastAsia="fr-FR"/>
        </w:rPr>
        <w:t>Cobalt : succès non démenti des contrats à terme sur le CME</w:t>
      </w:r>
    </w:p>
    <w:p w14:paraId="23B56710" w14:textId="77777777" w:rsidR="002A0A12" w:rsidRPr="002A0A12" w:rsidRDefault="002A0A12" w:rsidP="002A0A12">
      <w:pPr>
        <w:shd w:val="clear" w:color="auto" w:fill="FFFFFF"/>
        <w:spacing w:before="75" w:after="75"/>
        <w:jc w:val="both"/>
        <w:rPr>
          <w:rFonts w:ascii="Lato" w:eastAsia="Times New Roman" w:hAnsi="Lato" w:cs="Times New Roman"/>
          <w:color w:val="000000"/>
          <w:sz w:val="23"/>
          <w:szCs w:val="23"/>
          <w:lang w:eastAsia="fr-FR"/>
        </w:rPr>
      </w:pPr>
      <w:r w:rsidRPr="002A0A12">
        <w:rPr>
          <w:rFonts w:ascii="Lato" w:eastAsia="Times New Roman" w:hAnsi="Lato" w:cs="Times New Roman"/>
          <w:color w:val="000000"/>
          <w:sz w:val="23"/>
          <w:szCs w:val="23"/>
          <w:lang w:eastAsia="fr-FR"/>
        </w:rPr>
        <w:t xml:space="preserve">Les contrats à terme échangés sur le </w:t>
      </w:r>
      <w:proofErr w:type="spellStart"/>
      <w:r w:rsidRPr="002A0A12">
        <w:rPr>
          <w:rFonts w:ascii="Lato" w:eastAsia="Times New Roman" w:hAnsi="Lato" w:cs="Times New Roman"/>
          <w:color w:val="000000"/>
          <w:sz w:val="23"/>
          <w:szCs w:val="23"/>
          <w:lang w:eastAsia="fr-FR"/>
        </w:rPr>
        <w:t>Chigago</w:t>
      </w:r>
      <w:proofErr w:type="spellEnd"/>
      <w:r w:rsidRPr="002A0A12">
        <w:rPr>
          <w:rFonts w:ascii="Lato" w:eastAsia="Times New Roman" w:hAnsi="Lato" w:cs="Times New Roman"/>
          <w:color w:val="000000"/>
          <w:sz w:val="23"/>
          <w:szCs w:val="23"/>
          <w:lang w:eastAsia="fr-FR"/>
        </w:rPr>
        <w:t xml:space="preserve"> Mercantile Exchange (CME) ont atteint un niveau record, en termes de volumes, le 17 janvier dernier. Un total de 1.369 tonnes a été échangé, écrasant le précédent record atteint le 12 octobre 2022, de 756 tonnes. L’intérêt ouvert, qui correspond au nombre de contrats à terme détenus par les participants du marché à la fin d’une journée, a également culminé à un niveau inédit de 15.129 tonnes. Les échanges ont eu lieu dans la fourchette de 16,95-18,80 $/lb mardi 17 janvier, et 18,05-20,50 $/lb le lendemain. L’activité de ces deux journées couvrait la période située entre février 2023 et juin 2025. « </w:t>
      </w:r>
      <w:r w:rsidRPr="002A0A12">
        <w:rPr>
          <w:rFonts w:ascii="Lato" w:eastAsia="Times New Roman" w:hAnsi="Lato" w:cs="Times New Roman"/>
          <w:i/>
          <w:iCs/>
          <w:color w:val="000000"/>
          <w:sz w:val="23"/>
          <w:szCs w:val="23"/>
          <w:lang w:eastAsia="fr-FR"/>
        </w:rPr>
        <w:t>Le CME s’est imposé comme le lieu de prédilection pour la gestion du risque lié aux métaux de batterie, comme en témoigne le dynamisme de nos contrats sur le cobalt et le lithium</w:t>
      </w:r>
      <w:r w:rsidRPr="002A0A12">
        <w:rPr>
          <w:rFonts w:ascii="Lato" w:eastAsia="Times New Roman" w:hAnsi="Lato" w:cs="Times New Roman"/>
          <w:color w:val="000000"/>
          <w:sz w:val="23"/>
          <w:szCs w:val="23"/>
          <w:lang w:eastAsia="fr-FR"/>
        </w:rPr>
        <w:t> », s’est félicitée Jin Chang, directrice générale et responsable mondiale des métaux au CME Group. « </w:t>
      </w:r>
      <w:r w:rsidRPr="002A0A12">
        <w:rPr>
          <w:rFonts w:ascii="Lato" w:eastAsia="Times New Roman" w:hAnsi="Lato" w:cs="Times New Roman"/>
          <w:i/>
          <w:iCs/>
          <w:color w:val="000000"/>
          <w:sz w:val="23"/>
          <w:szCs w:val="23"/>
          <w:lang w:eastAsia="fr-FR"/>
        </w:rPr>
        <w:t>L’intérêt ouvert a dépassé les 16.000 contrats et s’étend jusqu’à décembre 2025, et les volumes échangés ont enchaîné les records depuis le début de l’année</w:t>
      </w:r>
      <w:r w:rsidRPr="002A0A12">
        <w:rPr>
          <w:rFonts w:ascii="Lato" w:eastAsia="Times New Roman" w:hAnsi="Lato" w:cs="Times New Roman"/>
          <w:color w:val="000000"/>
          <w:sz w:val="23"/>
          <w:szCs w:val="23"/>
          <w:lang w:eastAsia="fr-FR"/>
        </w:rPr>
        <w:t> », a-t-elle ajouté. « </w:t>
      </w:r>
      <w:r w:rsidRPr="002A0A12">
        <w:rPr>
          <w:rFonts w:ascii="Lato" w:eastAsia="Times New Roman" w:hAnsi="Lato" w:cs="Times New Roman"/>
          <w:i/>
          <w:iCs/>
          <w:color w:val="000000"/>
          <w:sz w:val="23"/>
          <w:szCs w:val="23"/>
          <w:lang w:eastAsia="fr-FR"/>
        </w:rPr>
        <w:t>Nous allons continuer à répondre aux besoins en matière de gestion des risques, et à accroître rapidement les liquidités pour servir l’industrie des métaux </w:t>
      </w:r>
      <w:r w:rsidRPr="002A0A12">
        <w:rPr>
          <w:rFonts w:ascii="Lato" w:eastAsia="Times New Roman" w:hAnsi="Lato" w:cs="Times New Roman"/>
          <w:color w:val="000000"/>
          <w:sz w:val="23"/>
          <w:szCs w:val="23"/>
          <w:lang w:eastAsia="fr-FR"/>
        </w:rPr>
        <w:t xml:space="preserve">». Le recours aux contrats à terme pour le cobalt s’est avéré très prisé par les acteurs du marché, en permettant de couvrir les décisions commerciales plusieurs années à l’avance. Les constructeurs automobiles se sont notamment révélés très friands de ces contrats à terme. </w:t>
      </w:r>
      <w:r w:rsidRPr="002A0A12">
        <w:rPr>
          <w:rFonts w:ascii="Lato" w:eastAsia="Times New Roman" w:hAnsi="Lato" w:cs="Times New Roman"/>
          <w:color w:val="000000"/>
          <w:sz w:val="23"/>
          <w:szCs w:val="23"/>
          <w:lang w:eastAsia="fr-FR"/>
        </w:rPr>
        <w:lastRenderedPageBreak/>
        <w:t>« Le marché spot est très calme actuellement du point de vue des liquidités, mais le marché à terme affiche un intérêt ouvert robuste », souligne un négociant. Sur le marché spot, le cours du cobalt qualité standard a terminé l’année 2022 en baisse de 51 %, comparativement aux niveaux records atteints l’année précédente, sur fond de demande en berne sur le marché spot, de contexte macroéconomique dégradé et de prévisions d’excédent en 2023. Les négociants n’arrivent cependant pas à se mettre d’accord sur la manière dont pourrait se traduire cette forte activité du marché à terme sur le marché physique.</w:t>
      </w:r>
    </w:p>
    <w:p w14:paraId="15E03BEC"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12"/>
    <w:rsid w:val="000F156F"/>
    <w:rsid w:val="002A0A12"/>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FA23BC4"/>
  <w15:chartTrackingRefBased/>
  <w15:docId w15:val="{D5A894D7-93CA-BD44-9411-1D57079C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A0A1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0A12"/>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2A0A1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2A0A12"/>
    <w:rPr>
      <w:color w:val="0000FF"/>
      <w:u w:val="single"/>
    </w:rPr>
  </w:style>
  <w:style w:type="paragraph" w:styleId="NormalWeb">
    <w:name w:val="Normal (Web)"/>
    <w:basedOn w:val="Normal"/>
    <w:uiPriority w:val="99"/>
    <w:semiHidden/>
    <w:unhideWhenUsed/>
    <w:rsid w:val="002A0A12"/>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2A0A12"/>
    <w:rPr>
      <w:b/>
      <w:bCs/>
    </w:rPr>
  </w:style>
  <w:style w:type="character" w:styleId="Accentuation">
    <w:name w:val="Emphasis"/>
    <w:basedOn w:val="Policepardfaut"/>
    <w:uiPriority w:val="20"/>
    <w:qFormat/>
    <w:rsid w:val="002A0A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64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3514</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2023-01-24T09:04:00Z</dcterms:created>
  <dcterms:modified xsi:type="dcterms:W3CDTF">2023-01-24T09:05:00Z</dcterms:modified>
</cp:coreProperties>
</file>